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68" w:rsidRPr="005F4D68" w:rsidRDefault="005F4D68" w:rsidP="005F4D6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top"/>
      <w:bookmarkEnd w:id="0"/>
      <w:r w:rsidRPr="005F4D68">
        <w:rPr>
          <w:rFonts w:ascii="Times New Roman" w:eastAsia="Times New Roman" w:hAnsi="Times New Roman" w:cs="Times New Roman"/>
          <w:b/>
          <w:sz w:val="20"/>
          <w:szCs w:val="20"/>
        </w:rPr>
        <w:t>ИЗВЕЩЕНИЕ О ПРОВЕДЕНИИ ОТКРЫТОГО АУКЦИОНА</w:t>
      </w:r>
    </w:p>
    <w:p w:rsidR="005F4D68" w:rsidRPr="005F4D68" w:rsidRDefault="005F4D68" w:rsidP="005F4D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792" w:type="dxa"/>
        <w:tblLayout w:type="fixed"/>
        <w:tblLook w:val="00A0" w:firstRow="1" w:lastRow="0" w:firstColumn="1" w:lastColumn="0" w:noHBand="0" w:noVBand="0"/>
      </w:tblPr>
      <w:tblGrid>
        <w:gridCol w:w="3842"/>
        <w:gridCol w:w="5950"/>
      </w:tblGrid>
      <w:tr w:rsidR="005F4D68" w:rsidRPr="005F4D68" w:rsidTr="00442EC7">
        <w:trPr>
          <w:trHeight w:val="236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D68" w:rsidRPr="005F4D68" w:rsidRDefault="005F4D68" w:rsidP="005F4D68">
            <w:pPr>
              <w:widowControl w:val="0"/>
              <w:autoSpaceDE w:val="0"/>
              <w:autoSpaceDN w:val="0"/>
              <w:adjustRightInd w:val="0"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F4D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Форма торгов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68" w:rsidRPr="005F4D68" w:rsidRDefault="005F4D68" w:rsidP="005F4D68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4D68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Открытый аукцион в электронной форме</w:t>
            </w:r>
          </w:p>
        </w:tc>
      </w:tr>
      <w:tr w:rsidR="005F4D68" w:rsidRPr="005F4D68" w:rsidTr="00442EC7"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D68" w:rsidRPr="005F4D68" w:rsidRDefault="005F4D68" w:rsidP="005F4D68">
            <w:pPr>
              <w:suppressAutoHyphens/>
              <w:snapToGri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F4D6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Наименование, место нахождения, почтовый адрес и адрес электронной почты, номер контактного телефона заказчика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D68" w:rsidRPr="005F4D68" w:rsidRDefault="005F4D68" w:rsidP="005F4D68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Заказчик: Открытое акционерное общество «Печатный двор Кубани»</w:t>
            </w:r>
          </w:p>
          <w:p w:rsidR="005F4D68" w:rsidRPr="005F4D68" w:rsidRDefault="005F4D68" w:rsidP="005F4D68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Место нахождения Заказчика: 350000, Российская Федерация, Краснодарский край, г. Краснодар, ул. Горького, 104</w:t>
            </w:r>
          </w:p>
          <w:p w:rsidR="005F4D68" w:rsidRPr="005F4D68" w:rsidRDefault="005F4D68" w:rsidP="005F4D68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highlight w:val="yellow"/>
                <w:lang w:eastAsia="hi-IN" w:bidi="hi-IN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Почтовый адрес Заказчика: 350072, Российская Федерация, Краснодарский край, г. Краснодар, ул. Тополиная. 19</w:t>
            </w:r>
          </w:p>
          <w:p w:rsidR="005F4D68" w:rsidRPr="005F4D68" w:rsidRDefault="005F4D68" w:rsidP="005F4D68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Адрес электронной почты Заказчика: </w:t>
            </w:r>
            <w:proofErr w:type="spellStart"/>
            <w:r w:rsidRPr="005F4D68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lang w:val="en-US"/>
              </w:rPr>
              <w:t>zakupki</w:t>
            </w:r>
            <w:proofErr w:type="spellEnd"/>
            <w:r w:rsidRPr="005F4D68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  <w:t>@pdkuban.ru</w:t>
            </w:r>
          </w:p>
          <w:p w:rsidR="005F4D68" w:rsidRPr="005F4D68" w:rsidRDefault="005F4D68" w:rsidP="005F4D68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shd w:val="clear" w:color="auto" w:fill="FFFF00"/>
                <w:lang w:eastAsia="hi-IN" w:bidi="hi-IN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Номер контактного телефона/факса Заказчика: </w:t>
            </w:r>
            <w:r w:rsidRPr="005F4D68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  <w:t>8(861) 224-79-44</w:t>
            </w:r>
          </w:p>
          <w:p w:rsidR="005F4D68" w:rsidRPr="005F4D68" w:rsidRDefault="005F4D68" w:rsidP="005F4D68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shd w:val="clear" w:color="auto" w:fill="FFFF00"/>
                <w:lang w:eastAsia="hi-IN" w:bidi="hi-IN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Контактное лицо: </w:t>
            </w:r>
            <w:proofErr w:type="spellStart"/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Маханёва</w:t>
            </w:r>
            <w:proofErr w:type="spellEnd"/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Ксения Сергеевна</w:t>
            </w:r>
          </w:p>
          <w:p w:rsidR="005F4D68" w:rsidRPr="005F4D68" w:rsidRDefault="005F4D68" w:rsidP="005F4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Официальный сайт Заказчика: </w:t>
            </w: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val="en-US" w:eastAsia="hi-IN" w:bidi="hi-IN"/>
              </w:rPr>
              <w:t>www</w:t>
            </w: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.</w:t>
            </w:r>
            <w:proofErr w:type="spellStart"/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val="en-US" w:eastAsia="hi-IN" w:bidi="hi-IN"/>
              </w:rPr>
              <w:t>pdkuban</w:t>
            </w:r>
            <w:proofErr w:type="spellEnd"/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.</w:t>
            </w:r>
            <w:proofErr w:type="spellStart"/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val="en-US" w:eastAsia="hi-IN" w:bidi="hi-IN"/>
              </w:rPr>
              <w:t>ru</w:t>
            </w:r>
            <w:proofErr w:type="spellEnd"/>
          </w:p>
        </w:tc>
      </w:tr>
      <w:tr w:rsidR="005F4D68" w:rsidRPr="005F4D68" w:rsidTr="00442EC7">
        <w:trPr>
          <w:trHeight w:val="475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F4D68" w:rsidRPr="005F4D68" w:rsidRDefault="005F4D68" w:rsidP="005F4D68">
            <w:pPr>
              <w:widowControl w:val="0"/>
              <w:autoSpaceDE w:val="0"/>
              <w:autoSpaceDN w:val="0"/>
              <w:adjustRightInd w:val="0"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F4D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Предмет аукциона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D68" w:rsidRPr="005F4D68" w:rsidRDefault="0035130A" w:rsidP="005F4D6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bookmarkStart w:id="1" w:name="mGuarantyText"/>
            <w:bookmarkEnd w:id="1"/>
            <w:r w:rsidRPr="0035130A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На право заключения договора поставки газетной бумаги в рулонах</w:t>
            </w:r>
          </w:p>
        </w:tc>
      </w:tr>
      <w:tr w:rsidR="005F4D68" w:rsidRPr="005F4D68" w:rsidTr="00442EC7">
        <w:trPr>
          <w:trHeight w:val="141"/>
        </w:trPr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F4D68" w:rsidRPr="005F4D68" w:rsidRDefault="005F4D68" w:rsidP="005F4D6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4D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68" w:rsidRPr="005F4D68" w:rsidRDefault="005F4D68" w:rsidP="005F4D6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Поставка газетной бумаги</w:t>
            </w:r>
            <w:r w:rsidR="0035130A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в рулонах</w:t>
            </w:r>
            <w:bookmarkStart w:id="2" w:name="_GoBack"/>
            <w:bookmarkEnd w:id="2"/>
          </w:p>
        </w:tc>
      </w:tr>
      <w:tr w:rsidR="005F4D68" w:rsidRPr="005F4D68" w:rsidTr="00442EC7">
        <w:trPr>
          <w:trHeight w:val="70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D68" w:rsidRPr="005F4D68" w:rsidRDefault="005F4D68" w:rsidP="005F4D6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F4D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поставляемого товара, кг.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68" w:rsidRPr="005F4D68" w:rsidRDefault="005F4D68" w:rsidP="005F4D68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</w:t>
            </w:r>
            <w:r w:rsidRPr="005F4D6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0000 </w:t>
            </w:r>
          </w:p>
        </w:tc>
      </w:tr>
      <w:tr w:rsidR="005F4D68" w:rsidRPr="005F4D68" w:rsidTr="00442EC7"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D68" w:rsidRPr="005F4D68" w:rsidRDefault="005F4D68" w:rsidP="005F4D6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F4D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0A" w:rsidRDefault="0035130A" w:rsidP="005F4D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30A">
              <w:rPr>
                <w:rFonts w:ascii="Times New Roman" w:eastAsia="Times New Roman" w:hAnsi="Times New Roman" w:cs="Times New Roman"/>
                <w:sz w:val="18"/>
                <w:szCs w:val="18"/>
              </w:rPr>
              <w:t>10 985 700,00 (Десять миллионов девятьсот восемьдесят пять тысяч семьсот рублей 00 копеек).</w:t>
            </w:r>
          </w:p>
          <w:p w:rsidR="005F4D68" w:rsidRPr="005F4D68" w:rsidRDefault="005F4D68" w:rsidP="005F4D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Цена договора включает в себя</w:t>
            </w:r>
            <w:r w:rsidRPr="005F4D68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все необходимые расходы, в том числе на уплату пошлин, налогов (НДС), сборов и других обязательных платежей, которые участник должен понести в связи с исполнением обязательств по договору. Затраты, не включенные в цену договора, не подлежат оплате со стороны Заказчика. В случае если деятельность участника не подлежит налогообложению НДС (освобождено от налогообложения НДС) либо участник освобожден от исполнения обязанности налогоплательщика </w:t>
            </w:r>
            <w:proofErr w:type="gramStart"/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НДС</w:t>
            </w:r>
            <w:proofErr w:type="gramEnd"/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либо участник не является налогоплательщиком НДС, то цена, предложенная таким участником закупки и указанная в заявке, не должна превышать начальную (максимальную) цену.</w:t>
            </w:r>
          </w:p>
        </w:tc>
      </w:tr>
      <w:tr w:rsidR="005F4D68" w:rsidRPr="005F4D68" w:rsidTr="00442EC7">
        <w:trPr>
          <w:trHeight w:val="239"/>
        </w:trPr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D68" w:rsidRPr="005F4D68" w:rsidRDefault="005F4D68" w:rsidP="005F4D6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F4D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Статус аукциона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D68" w:rsidRPr="005F4D68" w:rsidRDefault="005F4D68" w:rsidP="005F4D68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F4D68">
              <w:rPr>
                <w:rFonts w:ascii="Times New Roman" w:eastAsia="Times New Roman" w:hAnsi="Times New Roman" w:cs="Times New Roman"/>
                <w:sz w:val="18"/>
                <w:szCs w:val="18"/>
              </w:rPr>
              <w:t>Торги на понижение</w:t>
            </w:r>
          </w:p>
        </w:tc>
      </w:tr>
      <w:tr w:rsidR="005F4D68" w:rsidRPr="005F4D68" w:rsidTr="00442EC7">
        <w:trPr>
          <w:trHeight w:val="290"/>
        </w:trPr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D68" w:rsidRPr="005F4D68" w:rsidRDefault="005F4D68" w:rsidP="005F4D6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4D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Тип аукциона по числу лотов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D68" w:rsidRPr="005F4D68" w:rsidRDefault="005F4D68" w:rsidP="005F4D68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F4D68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Однолотовый</w:t>
            </w:r>
            <w:proofErr w:type="spellEnd"/>
            <w:r w:rsidRPr="005F4D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F4D68" w:rsidRPr="005F4D68" w:rsidTr="00442EC7">
        <w:trPr>
          <w:trHeight w:val="453"/>
        </w:trPr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D68" w:rsidRPr="005F4D68" w:rsidRDefault="005F4D68" w:rsidP="005F4D6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4D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Величина понижения начальной цены («шаг аукциона»)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D68" w:rsidRPr="005F4D68" w:rsidRDefault="005F4D68" w:rsidP="005F4D68">
            <w:pPr>
              <w:suppressAutoHyphens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5F4D6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hi-IN" w:bidi="hi-IN"/>
              </w:rPr>
              <w:t>от 0,5% до 5 %;</w:t>
            </w:r>
          </w:p>
        </w:tc>
      </w:tr>
      <w:tr w:rsidR="005F4D68" w:rsidRPr="005F4D68" w:rsidTr="00442EC7">
        <w:trPr>
          <w:trHeight w:val="1552"/>
        </w:trPr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D68" w:rsidRPr="005F4D68" w:rsidRDefault="005F4D68" w:rsidP="005F4D6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4D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Опции аукциона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D68" w:rsidRPr="005F4D68" w:rsidRDefault="005F4D68" w:rsidP="005F4D68">
            <w:pPr>
              <w:tabs>
                <w:tab w:val="left" w:pos="0"/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- участник не может подать предложение о цене договора выше, чем ранее поданное им же;</w:t>
            </w:r>
          </w:p>
          <w:p w:rsidR="005F4D68" w:rsidRPr="005F4D68" w:rsidRDefault="005F4D68" w:rsidP="005F4D68">
            <w:pPr>
              <w:tabs>
                <w:tab w:val="left" w:pos="0"/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- участник не может дважды подать одно и то же предложение по цене договора;</w:t>
            </w:r>
          </w:p>
          <w:p w:rsidR="005F4D68" w:rsidRPr="005F4D68" w:rsidRDefault="005F4D68" w:rsidP="005F4D68">
            <w:pPr>
              <w:tabs>
                <w:tab w:val="left" w:pos="0"/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- участник не может подать предложение о цене договора равное 0;</w:t>
            </w:r>
          </w:p>
          <w:p w:rsidR="005F4D68" w:rsidRPr="005F4D68" w:rsidRDefault="005F4D68" w:rsidP="005F4D68">
            <w:pPr>
              <w:tabs>
                <w:tab w:val="left" w:pos="0"/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- участник не может подавать предложение о цене выше начальной (максимальной) цены.</w:t>
            </w:r>
          </w:p>
          <w:p w:rsidR="005F4D68" w:rsidRPr="005F4D68" w:rsidRDefault="005F4D68" w:rsidP="005F4D68">
            <w:p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- участник не может подавать специальные (альтернативные) предложения.</w:t>
            </w:r>
          </w:p>
        </w:tc>
      </w:tr>
      <w:tr w:rsidR="005F4D68" w:rsidRPr="005F4D68" w:rsidTr="00442EC7">
        <w:trPr>
          <w:trHeight w:val="298"/>
        </w:trPr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D68" w:rsidRPr="005F4D68" w:rsidRDefault="005F4D68" w:rsidP="005F4D6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4D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Продление аукциона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D68" w:rsidRPr="005F4D68" w:rsidRDefault="005F4D68" w:rsidP="005F4D68">
            <w:p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В соответствии с условиями электронной торговой площадки </w:t>
            </w:r>
          </w:p>
        </w:tc>
      </w:tr>
      <w:tr w:rsidR="005F4D68" w:rsidRPr="005F4D68" w:rsidTr="00442EC7">
        <w:trPr>
          <w:trHeight w:val="351"/>
        </w:trPr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D68" w:rsidRPr="005F4D68" w:rsidRDefault="005F4D68" w:rsidP="005F4D6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4D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Ограничение времени действия шага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D68" w:rsidRPr="005F4D68" w:rsidRDefault="005F4D68" w:rsidP="005F4D68">
            <w:pPr>
              <w:tabs>
                <w:tab w:val="left" w:pos="0"/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В соответствии с условиями электронной торговой площадки </w:t>
            </w:r>
          </w:p>
        </w:tc>
      </w:tr>
      <w:tr w:rsidR="005F4D68" w:rsidRPr="005F4D68" w:rsidTr="00442EC7">
        <w:trPr>
          <w:trHeight w:val="441"/>
        </w:trPr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D68" w:rsidRPr="005F4D68" w:rsidRDefault="005F4D68" w:rsidP="005F4D6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4D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условий поставки и оплаты поставляемого товара, работ, услуг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D68" w:rsidRPr="005F4D68" w:rsidRDefault="005F4D68" w:rsidP="005F4D68">
            <w:pPr>
              <w:suppressAutoHyphens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68">
              <w:rPr>
                <w:rFonts w:ascii="Times New Roman" w:eastAsia="Times New Roman" w:hAnsi="Times New Roman" w:cs="Times New Roman"/>
                <w:sz w:val="18"/>
                <w:szCs w:val="18"/>
              </w:rPr>
              <w:t>Указываются в информационной карте к закупочной документации и проекте договора</w:t>
            </w:r>
          </w:p>
        </w:tc>
      </w:tr>
      <w:tr w:rsidR="005F4D68" w:rsidRPr="005F4D68" w:rsidTr="00442EC7">
        <w:trPr>
          <w:trHeight w:val="545"/>
        </w:trPr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D68" w:rsidRPr="005F4D68" w:rsidRDefault="005F4D68" w:rsidP="005F4D6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4D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товаров, работ, услуг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D68" w:rsidRPr="005F4D68" w:rsidRDefault="005F4D68" w:rsidP="005F4D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68">
              <w:rPr>
                <w:rFonts w:ascii="Times New Roman" w:eastAsia="Times New Roman" w:hAnsi="Times New Roman" w:cs="Times New Roman"/>
                <w:sz w:val="18"/>
                <w:szCs w:val="18"/>
              </w:rPr>
              <w:t>Указываются в информационной карте к закупочной документации, а также техническом задании</w:t>
            </w:r>
          </w:p>
        </w:tc>
      </w:tr>
      <w:tr w:rsidR="005F4D68" w:rsidRPr="005F4D68" w:rsidTr="00442EC7">
        <w:trPr>
          <w:trHeight w:val="685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F4D68" w:rsidRPr="005F4D68" w:rsidRDefault="005F4D68" w:rsidP="005F4D6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4D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Срок, место и порядок предоставления закупочной документации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D68" w:rsidRPr="005F4D68" w:rsidRDefault="005F4D68" w:rsidP="005F4D6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Документация размещается в единой информационной системе в сфере закупок </w:t>
            </w:r>
            <w:hyperlink r:id="rId4" w:history="1">
              <w:r w:rsidRPr="005F4D6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www.zakupki.gov.ru</w:t>
              </w:r>
            </w:hyperlink>
            <w:r w:rsidRPr="005F4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val="en-US" w:eastAsia="hi-IN" w:bidi="hi-IN"/>
              </w:rPr>
              <w:t>sberbank</w:t>
            </w:r>
            <w:proofErr w:type="spellEnd"/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-</w:t>
            </w:r>
            <w:proofErr w:type="spellStart"/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val="en-US" w:eastAsia="hi-IN" w:bidi="hi-IN"/>
              </w:rPr>
              <w:t>ast</w:t>
            </w:r>
            <w:proofErr w:type="spellEnd"/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.</w:t>
            </w:r>
            <w:proofErr w:type="spellStart"/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val="en-US" w:eastAsia="hi-IN" w:bidi="hi-IN"/>
              </w:rPr>
              <w:t>ru</w:t>
            </w:r>
            <w:proofErr w:type="spellEnd"/>
            <w:r w:rsidRPr="005F4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оф</w:t>
            </w:r>
            <w:r w:rsidR="0035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ициальном сайте Заказчика с «12» октября</w:t>
            </w:r>
            <w:r w:rsidRPr="005F4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2016 года. Документация размещена в свободном доступе. Плата за предоставление документации не взимается. </w:t>
            </w:r>
          </w:p>
        </w:tc>
      </w:tr>
      <w:tr w:rsidR="005F4D68" w:rsidRPr="005F4D68" w:rsidTr="00442EC7">
        <w:trPr>
          <w:trHeight w:val="1044"/>
        </w:trPr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D68" w:rsidRPr="005F4D68" w:rsidRDefault="005F4D68" w:rsidP="005F4D6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F4D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Место и дата начала и окончания подачи заявок на участие в открытом аукционе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4D68" w:rsidRPr="005F4D68" w:rsidRDefault="005F4D68" w:rsidP="005F4D68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Заявки подаются в электронном виде, на сайте </w:t>
            </w:r>
            <w:proofErr w:type="spellStart"/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val="en-US" w:eastAsia="hi-IN" w:bidi="hi-IN"/>
              </w:rPr>
              <w:t>sberbank</w:t>
            </w:r>
            <w:proofErr w:type="spellEnd"/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-</w:t>
            </w:r>
            <w:proofErr w:type="spellStart"/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val="en-US" w:eastAsia="hi-IN" w:bidi="hi-IN"/>
              </w:rPr>
              <w:t>ast</w:t>
            </w:r>
            <w:proofErr w:type="spellEnd"/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.</w:t>
            </w:r>
            <w:proofErr w:type="spellStart"/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val="en-US" w:eastAsia="hi-IN" w:bidi="hi-IN"/>
              </w:rPr>
              <w:t>ru</w:t>
            </w:r>
            <w:proofErr w:type="spellEnd"/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.</w:t>
            </w:r>
          </w:p>
          <w:p w:rsidR="005F4D68" w:rsidRPr="005F4D68" w:rsidRDefault="005F4D68" w:rsidP="005F4D68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Начало подачи заявок на участие в открытом аукционе: </w:t>
            </w:r>
          </w:p>
          <w:p w:rsidR="005F4D68" w:rsidRPr="005F4D68" w:rsidRDefault="0035130A" w:rsidP="005F4D68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с «13» октября</w:t>
            </w:r>
            <w:r w:rsidR="005F4D68"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2016 г. 08:00</w:t>
            </w:r>
          </w:p>
          <w:p w:rsidR="005F4D68" w:rsidRPr="005F4D68" w:rsidRDefault="0035130A" w:rsidP="005F4D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Окончание подачи заявок: «02</w:t>
            </w:r>
            <w:r w:rsidR="005F4D68"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»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ноября</w:t>
            </w:r>
            <w:r w:rsidR="005F4D68"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2016 г. 00:00</w:t>
            </w:r>
          </w:p>
        </w:tc>
      </w:tr>
      <w:tr w:rsidR="005F4D68" w:rsidRPr="005F4D68" w:rsidTr="00442EC7">
        <w:trPr>
          <w:trHeight w:val="125"/>
        </w:trPr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D68" w:rsidRPr="005F4D68" w:rsidRDefault="005F4D68" w:rsidP="005F4D6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Дата и время проведения аукциона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4D68" w:rsidRPr="005F4D68" w:rsidRDefault="0035130A" w:rsidP="005F4D6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«03</w:t>
            </w:r>
            <w:r w:rsidR="005F4D68"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»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ноября 2016 г. 09</w:t>
            </w:r>
            <w:r w:rsidR="005F4D68"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:00</w:t>
            </w:r>
          </w:p>
        </w:tc>
      </w:tr>
      <w:tr w:rsidR="005F4D68" w:rsidRPr="005F4D68" w:rsidTr="00442EC7">
        <w:trPr>
          <w:trHeight w:val="80"/>
        </w:trPr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D68" w:rsidRPr="005F4D68" w:rsidRDefault="005F4D68" w:rsidP="005F4D6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Место поставки товара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D68" w:rsidRPr="005F4D68" w:rsidRDefault="005F4D68" w:rsidP="005F4D6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В соответствии с условиями договора</w:t>
            </w:r>
          </w:p>
        </w:tc>
      </w:tr>
      <w:tr w:rsidR="005F4D68" w:rsidRPr="005F4D68" w:rsidTr="0044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3842" w:type="dxa"/>
          </w:tcPr>
          <w:p w:rsidR="005F4D68" w:rsidRPr="005F4D68" w:rsidRDefault="005F4D68" w:rsidP="005F4D6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Сроки рассмотрения и подписания договора</w:t>
            </w:r>
          </w:p>
        </w:tc>
        <w:tc>
          <w:tcPr>
            <w:tcW w:w="5950" w:type="dxa"/>
          </w:tcPr>
          <w:p w:rsidR="005F4D68" w:rsidRPr="005F4D68" w:rsidRDefault="005F4D68" w:rsidP="005F4D68">
            <w:pPr>
              <w:suppressAutoHyphens/>
              <w:spacing w:after="0" w:line="240" w:lineRule="auto"/>
              <w:ind w:left="-16" w:firstLine="16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5F4D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В течении 5 рабочих дней со дня подписания заказчиком протокола о результатах закупки</w:t>
            </w:r>
          </w:p>
        </w:tc>
      </w:tr>
    </w:tbl>
    <w:p w:rsidR="0000390E" w:rsidRDefault="0000390E"/>
    <w:sectPr w:rsidR="0000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4B"/>
    <w:rsid w:val="0000390E"/>
    <w:rsid w:val="0035130A"/>
    <w:rsid w:val="005F4D68"/>
    <w:rsid w:val="006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12ED"/>
  <w15:chartTrackingRefBased/>
  <w15:docId w15:val="{A5B40AA6-0E20-430E-88C4-AD20DD7B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2016-08-10T10:50:00Z</dcterms:created>
  <dcterms:modified xsi:type="dcterms:W3CDTF">2016-10-12T12:17:00Z</dcterms:modified>
</cp:coreProperties>
</file>